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2E6E" w14:textId="77777777" w:rsidR="002F0B9D" w:rsidRPr="005C0E8C" w:rsidRDefault="00CB1EDB" w:rsidP="007460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0551C391" w14:textId="64C08248" w:rsidR="002F0B9D" w:rsidRPr="005C0E8C" w:rsidRDefault="005C0E8C" w:rsidP="0074604F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5C0E8C">
        <w:rPr>
          <w:rFonts w:ascii="Times New Roman" w:hAnsi="Times New Roman" w:cs="Times New Roman"/>
          <w:b/>
          <w:bCs/>
        </w:rPr>
        <w:t xml:space="preserve">Godišnjeg izvještaja o izvršenju Proračuna Općine Sveti </w:t>
      </w:r>
      <w:proofErr w:type="spellStart"/>
      <w:r w:rsidRPr="005C0E8C">
        <w:rPr>
          <w:rFonts w:ascii="Times New Roman" w:hAnsi="Times New Roman" w:cs="Times New Roman"/>
          <w:b/>
          <w:bCs/>
        </w:rPr>
        <w:t>Đurđ</w:t>
      </w:r>
      <w:proofErr w:type="spellEnd"/>
      <w:r w:rsidRPr="005C0E8C">
        <w:rPr>
          <w:rFonts w:ascii="Times New Roman" w:hAnsi="Times New Roman" w:cs="Times New Roman"/>
          <w:b/>
          <w:bCs/>
        </w:rPr>
        <w:t xml:space="preserve"> za 2024. godinu</w:t>
      </w:r>
    </w:p>
    <w:p w14:paraId="176E393C" w14:textId="77777777" w:rsidR="002F0B9D" w:rsidRPr="005C0E8C" w:rsidRDefault="002F0B9D" w:rsidP="00746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66F30" w14:textId="77777777" w:rsidR="002F0B9D" w:rsidRPr="005C0E8C" w:rsidRDefault="00CB1EDB" w:rsidP="00746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I. ZAKONSKA OBVEZA</w:t>
      </w:r>
    </w:p>
    <w:p w14:paraId="78346DB5" w14:textId="644E4004" w:rsidR="002F0B9D" w:rsidRPr="005C0E8C" w:rsidRDefault="00CB1EDB" w:rsidP="0074604F">
      <w:p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Zakonom o proračunu („Narodne novine“, broj 144/21</w:t>
      </w:r>
      <w:r w:rsidR="005C0E8C" w:rsidRPr="005C0E8C">
        <w:rPr>
          <w:rFonts w:ascii="Times New Roman" w:hAnsi="Times New Roman" w:cs="Times New Roman"/>
          <w:sz w:val="24"/>
          <w:szCs w:val="24"/>
        </w:rPr>
        <w:t>.</w:t>
      </w:r>
      <w:r w:rsidRPr="005C0E8C">
        <w:rPr>
          <w:rFonts w:ascii="Times New Roman" w:hAnsi="Times New Roman" w:cs="Times New Roman"/>
          <w:sz w:val="24"/>
          <w:szCs w:val="24"/>
        </w:rPr>
        <w:t>) propisana je obveza izrade i podnošenja godišnjeg izvještaja o izvršenju proračuna do 31. svibnja  tekuće  godine, a istim zakonom je i propisano da godišnji izvještaj o izvršenju proračuna sadrži opći i posebni dio, obrazloženje i posebne izvještaje.</w:t>
      </w:r>
    </w:p>
    <w:p w14:paraId="0E61C0E7" w14:textId="77777777" w:rsidR="002F0B9D" w:rsidRPr="005C0E8C" w:rsidRDefault="00CB1EDB" w:rsidP="0074604F">
      <w:p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Obrazloženje općeg dijela izvještaja o izvršenju proračuna sadrži obrazloženje izvršenja programa iz posebnog dijela proračuna s ciljevima koji su ostvareni provedbom programa i pokazateljima uspješnosti realizacije tih ciljeva.</w:t>
      </w:r>
    </w:p>
    <w:p w14:paraId="5732130B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Posebni izvještaji u godišnjem izvještaju o izvršenju proračuna su:</w:t>
      </w:r>
    </w:p>
    <w:p w14:paraId="37115E85" w14:textId="11B53125" w:rsidR="002F0B9D" w:rsidRPr="005C0E8C" w:rsidRDefault="00CB1EDB" w:rsidP="005C0E8C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izvještaj o korištenju proračunske zalihe,</w:t>
      </w:r>
    </w:p>
    <w:p w14:paraId="32A05F7B" w14:textId="6F2B0133" w:rsidR="00832694" w:rsidRPr="005C0E8C" w:rsidRDefault="00832694" w:rsidP="005C0E8C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izvještaj o nenaplaćenim potraživanjima i obvezama</w:t>
      </w:r>
    </w:p>
    <w:p w14:paraId="2827D831" w14:textId="5FD9FA89" w:rsidR="00832694" w:rsidRPr="005C0E8C" w:rsidRDefault="00832694" w:rsidP="005C0E8C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izvještaj o potencijalnim obvezama po osnovi sudskih postupaka</w:t>
      </w:r>
    </w:p>
    <w:p w14:paraId="3063DFC5" w14:textId="486D4118" w:rsidR="002F0B9D" w:rsidRPr="005C0E8C" w:rsidRDefault="00CB1EDB" w:rsidP="005C0E8C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 i</w:t>
      </w:r>
    </w:p>
    <w:p w14:paraId="028C5F0A" w14:textId="22672211" w:rsidR="002F0B9D" w:rsidRPr="005C0E8C" w:rsidRDefault="00CB1EDB" w:rsidP="005C0E8C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izvještaj o danim jamstvima i plaćanjima po protestiranim jamstvima.</w:t>
      </w:r>
    </w:p>
    <w:p w14:paraId="5E26A745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</w:rPr>
      </w:pPr>
    </w:p>
    <w:p w14:paraId="6A47D5C8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BFB75" w14:textId="36FEDBED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II. OBRAZLOŽENJE OPĆEG DIJELA PRORAČUNA</w:t>
      </w:r>
    </w:p>
    <w:p w14:paraId="771A6582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B51A4C" w14:textId="28FAC25B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Sukladno članku 42. Zakona o proračunu Plan Proračuna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za 2024.</w:t>
      </w:r>
      <w:r w:rsidR="005C0E8C" w:rsidRPr="005C0E8C">
        <w:rPr>
          <w:rFonts w:ascii="Times New Roman" w:hAnsi="Times New Roman" w:cs="Times New Roman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>godinu donesen je na razini skupine (druga razina) ekonomske klasifikacije. Godišnji izvještaj o izvršenju proračuna donosi se na razini odjeljka (četvrta razina) u općem i posebnom dijelu proračuna, sukladno članku 76. Zakona o proračunu.</w:t>
      </w:r>
    </w:p>
    <w:p w14:paraId="20BEA902" w14:textId="57F8BD6A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666B92" w14:textId="0A4E6866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Plan Proračuna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za 2024. godinu sa projekcijama za 2025. i 2026. godinu usvojen je na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C0E8C">
        <w:rPr>
          <w:rFonts w:ascii="Times New Roman" w:hAnsi="Times New Roman" w:cs="Times New Roman"/>
          <w:color w:val="000000" w:themeColor="text1"/>
          <w:sz w:val="24"/>
          <w:szCs w:val="24"/>
        </w:rPr>
        <w:t>28.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 xml:space="preserve">sjednici Općinskog vijeća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>prosinca 2023. godine u iznosu od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C0E8C">
        <w:rPr>
          <w:rFonts w:ascii="Times New Roman" w:hAnsi="Times New Roman" w:cs="Times New Roman"/>
          <w:color w:val="000000" w:themeColor="text1"/>
          <w:sz w:val="24"/>
          <w:szCs w:val="24"/>
        </w:rPr>
        <w:t>3.155.500,00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5C0E8C">
        <w:rPr>
          <w:rFonts w:ascii="Times New Roman" w:hAnsi="Times New Roman" w:cs="Times New Roman"/>
          <w:sz w:val="24"/>
          <w:szCs w:val="24"/>
        </w:rPr>
        <w:t>eura.</w:t>
      </w:r>
    </w:p>
    <w:p w14:paraId="6D39A291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1E8F68" w14:textId="56DE66F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1 . Izmjene i dopune plana Proračuna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za 2024. usvojene su na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 xml:space="preserve">sjednici Općinskog vijeća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Pr="005C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color w:val="000000" w:themeColor="text1"/>
          <w:sz w:val="24"/>
          <w:szCs w:val="24"/>
        </w:rPr>
        <w:t>13.11.</w:t>
      </w:r>
      <w:r w:rsidRPr="005C0E8C">
        <w:rPr>
          <w:rFonts w:ascii="Times New Roman" w:hAnsi="Times New Roman" w:cs="Times New Roman"/>
          <w:sz w:val="24"/>
          <w:szCs w:val="24"/>
        </w:rPr>
        <w:t>2024. godine u iznosu od 2.838.818,69 eura.</w:t>
      </w:r>
    </w:p>
    <w:p w14:paraId="3C9496CE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707700" w14:textId="387005A0" w:rsidR="002F0B9D" w:rsidRPr="005C0E8C" w:rsidRDefault="00832694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Proračunu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uključeni su vlastiti i namjenski prihodi i primici proračunskog korisnika Dječji vrtić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koji se uplaćuju na njihov žiro račun, te rashodi i izdaci proračunskog korisnika koje financiraju iz tih prihoda.</w:t>
      </w:r>
    </w:p>
    <w:p w14:paraId="57921C4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Izvršenjem proračuna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za 2024.godinu realizirano je kako slijedi:</w:t>
      </w:r>
    </w:p>
    <w:p w14:paraId="1B52E0FA" w14:textId="77777777" w:rsidR="002F0B9D" w:rsidRPr="005C0E8C" w:rsidRDefault="00CB1EDB" w:rsidP="005C0E8C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ukupni prihodi poslovanja i prihodi od prodaje nefinancijske imovine ostvareni su u iznosu od 2.348.502,70 eura dok su ukupni rashodi poslovanja i rashodi za nabavu nefinancijske imovine ostvareni u iznosu od 2.620.830,20 eura što rezultira manjkom prihoda u iznosu od 272.327,50 eura,</w:t>
      </w:r>
    </w:p>
    <w:p w14:paraId="558D97DB" w14:textId="77777777" w:rsidR="002F0B9D" w:rsidRPr="005C0E8C" w:rsidRDefault="00CB1EDB" w:rsidP="005C0E8C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primici od financijske imovine i zaduživanja, te izdaci za financijsku imovinu i otplate zajmova ostvareni u iznosu od 0,00 eura</w:t>
      </w:r>
    </w:p>
    <w:p w14:paraId="34079FE0" w14:textId="77777777" w:rsidR="002F0B9D" w:rsidRPr="005C0E8C" w:rsidRDefault="00CB1EDB" w:rsidP="005C0E8C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preneseni višak prihoda iz prethodne godine je 1.041.687,96 eura, pa je na kraju rezultat poslovanja višak prihoda od 769.360,46 eura.</w:t>
      </w:r>
    </w:p>
    <w:p w14:paraId="7EEA1B6D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2B259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5C0E8C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i primici poslovanja</w:t>
      </w:r>
    </w:p>
    <w:p w14:paraId="704F3CDF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F177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 2024.godini Općina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ostvarila je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prihode poslovanja (razred 6)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iznosu od 2.342.151,79 eura i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prihode od prodaje nefinancijske imovine (razred 7)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iznosu od 6.350,91 eura.</w:t>
      </w:r>
    </w:p>
    <w:p w14:paraId="4B934190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470049" w14:textId="4830B677" w:rsidR="002F0B9D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Prihodi od poreza (61) </w:t>
      </w:r>
      <w:r w:rsidRPr="005C0E8C">
        <w:rPr>
          <w:rFonts w:ascii="Times New Roman" w:hAnsi="Times New Roman" w:cs="Times New Roman"/>
          <w:sz w:val="24"/>
          <w:szCs w:val="24"/>
        </w:rPr>
        <w:t>ostvareni su u iznosu od 967.274,69 eura, a obuhvaćaju porez na dohodak od nesamostalnog rada, porez na dohodak od samostalnih djelatnosti (obrta), porez na dohodak od imovine i imovinskih prava, porez na robu i usluge, porez na korištenje dobara ili izvođenje aktivnosti i sl.</w:t>
      </w:r>
    </w:p>
    <w:p w14:paraId="0FD4C32F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E2DB98" w14:textId="70508E47" w:rsidR="002F0B9D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Osim gore navedenih poreza u tu skupinu proračunskih prihoda spadaju i porez na promet nekretninama, odnosno porez na stjecanje vlasništva nad nekretninom sukladno Zakonu o porezu na promet nekretninama, porez na potrošnju alkoholnih i bezalkoholnih pića koji plaćaju vlasnici ugostiteljskih objekata.</w:t>
      </w:r>
    </w:p>
    <w:p w14:paraId="5D6F4070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0F1F6D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Pod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pomoći iz inozemstva i od subjekata unutar općeg proračuna (63)</w:t>
      </w:r>
      <w:r w:rsidRPr="005C0E8C">
        <w:rPr>
          <w:rFonts w:ascii="Times New Roman" w:hAnsi="Times New Roman" w:cs="Times New Roman"/>
          <w:sz w:val="24"/>
          <w:szCs w:val="24"/>
        </w:rPr>
        <w:t xml:space="preserve"> spada ju tekuće i kapitalne pomoći općinskih, županijskih i državnih proračuna, te ostalih subjekata unutar općeg proračuna.</w:t>
      </w:r>
    </w:p>
    <w:p w14:paraId="16355DD6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5D87ED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2024.godine te su pomoći ostvarene u iznosu od 943.307,92 eura, a odnose se na:</w:t>
      </w:r>
    </w:p>
    <w:p w14:paraId="573456E1" w14:textId="1007F244" w:rsidR="002F0B9D" w:rsidRPr="005C0E8C" w:rsidRDefault="00CB1EDB" w:rsidP="005C0E8C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tekuće pomoći iz drugih proračuna za u iznosu od 941.104,72 eura,</w:t>
      </w:r>
    </w:p>
    <w:p w14:paraId="0DF5D008" w14:textId="1BE5CB8F" w:rsidR="002F0B9D" w:rsidRPr="005C0E8C" w:rsidRDefault="00CB1EDB" w:rsidP="005C0E8C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pomoći proračunskim korisnicima iz proračuna koji im nije nadležan – sredstva za dječji vrtić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– sufinanciranje programa javnih potreba u predškolskom odgoju u iznosu od 2.203,20 eura.</w:t>
      </w:r>
    </w:p>
    <w:p w14:paraId="2A3A71AA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27476C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Prihodi od imovine (64) </w:t>
      </w:r>
      <w:r w:rsidRPr="005C0E8C">
        <w:rPr>
          <w:rFonts w:ascii="Times New Roman" w:hAnsi="Times New Roman" w:cs="Times New Roman"/>
          <w:sz w:val="24"/>
          <w:szCs w:val="24"/>
        </w:rPr>
        <w:t>kao sljedeća podskupina prihoda poslovanja ostvareni su u  2024.godine u iznosu od 225.789,96 eura.</w:t>
      </w:r>
    </w:p>
    <w:p w14:paraId="40EBCAB5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CC5EBE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Prihodi od financijske imovine ostvareni su u iznosu od 129,59 eura -zatezne kamate.</w:t>
      </w:r>
    </w:p>
    <w:p w14:paraId="2B5B6276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DD0EA0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Prihodi od nefinancijske imovine ostvareni su u iznosu od 225.660,37 eura, a odnose se na:</w:t>
      </w:r>
    </w:p>
    <w:p w14:paraId="1A86EE16" w14:textId="152C5C80" w:rsidR="002F0B9D" w:rsidRPr="005C0E8C" w:rsidRDefault="00CB1EDB" w:rsidP="005C0E8C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prihodi od zakupa i prihodi od iznajmljivanja imovine u iznosu od 41.904,81 eura,</w:t>
      </w:r>
    </w:p>
    <w:p w14:paraId="45689370" w14:textId="61E55A7D" w:rsidR="002F0B9D" w:rsidRPr="005C0E8C" w:rsidRDefault="00CB1EDB" w:rsidP="005C0E8C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prihodi od naknade za koncesiju u iznosu od 19.441,79 eura,</w:t>
      </w:r>
    </w:p>
    <w:p w14:paraId="57ED1A89" w14:textId="36CD4BE5" w:rsidR="002F0B9D" w:rsidRPr="005C0E8C" w:rsidRDefault="00CB1EDB" w:rsidP="005C0E8C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naknada za korištenje nefinancijske imovine (spomenička renta, naknada za korištenje prostora elektrana HE Čakovec i HE Dubrava) u iznosu od 164.313,77 eura.</w:t>
      </w:r>
    </w:p>
    <w:p w14:paraId="3E1FD45C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22980C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Prihodi od upravnih i administrativnih pristojbi, pristojbi po posebnim propisima i naknadama (65) </w:t>
      </w:r>
      <w:r w:rsidRPr="005C0E8C">
        <w:rPr>
          <w:rFonts w:ascii="Times New Roman" w:hAnsi="Times New Roman" w:cs="Times New Roman"/>
          <w:sz w:val="24"/>
          <w:szCs w:val="24"/>
        </w:rPr>
        <w:t>ostvareni su u iznosu od 195.759,94 eura, a odnose se na:</w:t>
      </w:r>
    </w:p>
    <w:p w14:paraId="58300144" w14:textId="7E448957" w:rsidR="002F0B9D" w:rsidRPr="005C0E8C" w:rsidRDefault="00CB1EDB" w:rsidP="005C0E8C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upravne i administrativne pristojbe u iznosu od 21,88 eura,</w:t>
      </w:r>
    </w:p>
    <w:p w14:paraId="44AD5FAD" w14:textId="2655D747" w:rsidR="002F0B9D" w:rsidRPr="005C0E8C" w:rsidRDefault="00CB1EDB" w:rsidP="005C0E8C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prihodi po posebnim propisima (doprinos za šume, refundacija režijskih troškova od zakupa poslovnih prostora, naknada za prenamjenu zemljišta, ostali prihodi po posebnim propisima) u iznosu od 105.097,38 eura,</w:t>
      </w:r>
    </w:p>
    <w:p w14:paraId="4A3C3EBF" w14:textId="46307E42" w:rsidR="002F0B9D" w:rsidRPr="005C0E8C" w:rsidRDefault="00CB1EDB" w:rsidP="005C0E8C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komunalni doprinosi i naknade (komunalni doprinos i komunalna naknada) u iznosu od 77.209,65 eura.</w:t>
      </w:r>
    </w:p>
    <w:p w14:paraId="0440097F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B8F407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proizvoda i robe te pruženih usluga i prihodi od donacija (66) </w:t>
      </w:r>
      <w:r w:rsidRPr="005C0E8C">
        <w:rPr>
          <w:rFonts w:ascii="Times New Roman" w:hAnsi="Times New Roman" w:cs="Times New Roman"/>
          <w:sz w:val="24"/>
          <w:szCs w:val="24"/>
        </w:rPr>
        <w:t xml:space="preserve">ostvareni su u iznosu od 4.616,09 eura, a odnose se na prihod od pruženih usluga za vođenje </w:t>
      </w:r>
      <w:r w:rsidRPr="005C0E8C">
        <w:rPr>
          <w:rFonts w:ascii="Times New Roman" w:hAnsi="Times New Roman" w:cs="Times New Roman"/>
          <w:sz w:val="24"/>
          <w:szCs w:val="24"/>
        </w:rPr>
        <w:lastRenderedPageBreak/>
        <w:t>naknade za uređenje voda, te prihodi od donacija pravnih i fizičkih osoba povodom Dana općine.</w:t>
      </w:r>
    </w:p>
    <w:p w14:paraId="7D766E6E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777383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Prihodi od kazne, upravne mjere i ostali prihodi (68)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iznosu od 5.403,19 eura, a odnose se na kazne za prekršaje na kulturnim dobrima, te naknade za ozakonjenje nezakonito izgrađenih zgrada.</w:t>
      </w:r>
    </w:p>
    <w:p w14:paraId="589744AD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3283C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</w:t>
      </w:r>
      <w:proofErr w:type="spellStart"/>
      <w:r w:rsidRPr="005C0E8C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 (71)</w:t>
      </w:r>
      <w:r w:rsidRPr="005C0E8C">
        <w:rPr>
          <w:rFonts w:ascii="Times New Roman" w:hAnsi="Times New Roman" w:cs="Times New Roman"/>
          <w:sz w:val="24"/>
          <w:szCs w:val="24"/>
        </w:rPr>
        <w:t xml:space="preserve"> ostvareni su u iznosu od 6.350,91 eura, a odnose se na prihod od prodaje zemljišta u vlasništvu općine.</w:t>
      </w:r>
    </w:p>
    <w:p w14:paraId="32F553F6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A2DDD6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25099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5C0E8C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i izdaci poslovanja</w:t>
      </w:r>
    </w:p>
    <w:p w14:paraId="06ED140A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699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 2024.godini Općina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ostvarila je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rashode poslovanja (razred 3)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iznosu od 1.793.692,46 eura i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rashode za nabavu nefinancijske imovine (razred 4)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iznosu od 827.137,74eura.</w:t>
      </w:r>
    </w:p>
    <w:p w14:paraId="6CAED61F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59498B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Rashodi za zaposlene (31)</w:t>
      </w:r>
      <w:r w:rsidRPr="005C0E8C">
        <w:rPr>
          <w:rFonts w:ascii="Times New Roman" w:hAnsi="Times New Roman" w:cs="Times New Roman"/>
          <w:sz w:val="24"/>
          <w:szCs w:val="24"/>
        </w:rPr>
        <w:t xml:space="preserve"> u  2024.godini ostvareni su u iznosu od 616.348,79 eura, a odnose se na rashode za zaposlene u Jedinstvenom upravnom odjelu, plaće načelnika, odnosno izvršne vlasti. Rashodi za zaposlene obuhvaćaju bruto plaće, doprinose na plaće i ostale rashode za zaposlene.</w:t>
      </w:r>
    </w:p>
    <w:p w14:paraId="1E670ABA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13420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Materijalni rashodi (32) </w:t>
      </w:r>
      <w:r w:rsidRPr="005C0E8C">
        <w:rPr>
          <w:rFonts w:ascii="Times New Roman" w:hAnsi="Times New Roman" w:cs="Times New Roman"/>
          <w:sz w:val="24"/>
          <w:szCs w:val="24"/>
        </w:rPr>
        <w:t>u  2024.godini ostvareni su u iznosu od 672.485,09 eura, a odnose se na:</w:t>
      </w:r>
    </w:p>
    <w:p w14:paraId="67D828A8" w14:textId="77777777" w:rsidR="002F0B9D" w:rsidRPr="005C0E8C" w:rsidRDefault="00CB1EDB" w:rsidP="005C0E8C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naknade troškova zaposlenima (službena putovanja, naknade za prijevoz na posao i s posla, stručna usavršavanja zaposlenika, korištenje osobnog automobila u službene svrhe i ostale naknade troškova zaposlenima) u iznosu od 26.314,16 eura,</w:t>
      </w:r>
    </w:p>
    <w:p w14:paraId="6A9C9E74" w14:textId="77777777" w:rsidR="002F0B9D" w:rsidRPr="005C0E8C" w:rsidRDefault="00CB1EDB" w:rsidP="005C0E8C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rashode za materijal i energiju (uredski materijal, literatura, materijal i sredstva za čišćenje i održavanje, električna energija, plin, motorni benzin i diesel gorivo, materijali i dijelovi za tekuće i investicijsko održavanje, sitni inventar) u iznosu od 225.183,33 eura,</w:t>
      </w:r>
    </w:p>
    <w:p w14:paraId="1577B7C9" w14:textId="77777777" w:rsidR="002F0B9D" w:rsidRPr="005C0E8C" w:rsidRDefault="00CB1EDB" w:rsidP="005C0E8C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rashode za usluge (telefon, poštarina, usluge tekućeg i investicijskog održavanja objekata i opreme, opskrba vodom, deratizacija i dezinsekcija, ostale komunalne usluge, zakupnine i najamnine za građevinske objekte, veterinarske usluge, usluge odvjetnika i pravnog savjetovanja, geodetsko-katastarske usluge, ostale intelektualne usluge, usluge ažuriranja računalnih baza, usluge razvoja software-a, grafičke i tiskarske usluge, uređenje prostora, usluge čišćenja i ostale nespomenute usluge) u iznosu od 306.875,96 eura,</w:t>
      </w:r>
    </w:p>
    <w:p w14:paraId="2CD26639" w14:textId="77777777" w:rsidR="002F0B9D" w:rsidRPr="005C0E8C" w:rsidRDefault="00CB1EDB" w:rsidP="005C0E8C">
      <w:pPr>
        <w:pStyle w:val="Bezprored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ostale nespomenute rashode poslovanja (naknade za rad članovima predstavničkih tijela, ostale slične naknade za rad, premije osiguranja, reprezentacija, članarine, javnobilježničke pristojbe, odvjetničke usluge, ostale pristojbe i naknade, troškovi sudskih postupaka, rashodi protokola i ostali nespomenuti rashodi) u iznosu od 95.243,49 eura.</w:t>
      </w:r>
    </w:p>
    <w:p w14:paraId="1EA86822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AFA882" w14:textId="1831BFC6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(34) </w:t>
      </w:r>
      <w:r w:rsidRPr="005C0E8C">
        <w:rPr>
          <w:rFonts w:ascii="Times New Roman" w:hAnsi="Times New Roman" w:cs="Times New Roman"/>
          <w:sz w:val="24"/>
          <w:szCs w:val="24"/>
        </w:rPr>
        <w:t>u  2024.</w:t>
      </w:r>
      <w:r w:rsidR="005C0E8C">
        <w:rPr>
          <w:rFonts w:ascii="Times New Roman" w:hAnsi="Times New Roman" w:cs="Times New Roman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>godine ostvareni su u iznosu od 17.507,14 eura, a odnose se na ostale financijske rashode (bankarske usluge i usluge platnog prometa i ostale nespomenute financijske rashode.</w:t>
      </w:r>
    </w:p>
    <w:p w14:paraId="16E059FF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E94C27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Subvencije (35)</w:t>
      </w:r>
      <w:r w:rsidRPr="005C0E8C">
        <w:rPr>
          <w:rFonts w:ascii="Times New Roman" w:hAnsi="Times New Roman" w:cs="Times New Roman"/>
          <w:sz w:val="24"/>
          <w:szCs w:val="24"/>
        </w:rPr>
        <w:t xml:space="preserve"> su ostvarene u iznosu od 26.600,00 eura, a odnose se na dane potpore poljoprivrednicima i obrtnicima u iznosu od 25.880,00 eura te subvencije trgovačkim </w:t>
      </w:r>
      <w:r w:rsidRPr="005C0E8C">
        <w:rPr>
          <w:rFonts w:ascii="Times New Roman" w:hAnsi="Times New Roman" w:cs="Times New Roman"/>
          <w:sz w:val="24"/>
          <w:szCs w:val="24"/>
        </w:rPr>
        <w:lastRenderedPageBreak/>
        <w:t>društvima u javnom sektoru, odnosno sufinanciranje boravka djece u dječjim vrtićima izvan općine u iznosu od 720,00 eura.</w:t>
      </w:r>
    </w:p>
    <w:p w14:paraId="0C1B36B5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0E7C9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Naknade građanima i kućanstvima na temelju osiguranja i druge naknade (37) </w:t>
      </w:r>
      <w:r w:rsidRPr="005C0E8C">
        <w:rPr>
          <w:rFonts w:ascii="Times New Roman" w:hAnsi="Times New Roman" w:cs="Times New Roman"/>
          <w:sz w:val="24"/>
          <w:szCs w:val="24"/>
        </w:rPr>
        <w:t>ostvarene su u iznosu od 161.481,09 eura, a odnose se na:</w:t>
      </w:r>
    </w:p>
    <w:p w14:paraId="45CFA273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-isplatu pomoći obiteljima i kućanstvima (novčane pomoći umirovljenicima za Uskrs i Božić, financijske pomoći mještanima) u iznosu od 69.913,85 eura,</w:t>
      </w:r>
    </w:p>
    <w:p w14:paraId="4997E294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-porodiljne naknade i oprema za novorođenčad, te darovi za djecu u iznosu od 8.313,27 eura,</w:t>
      </w:r>
    </w:p>
    <w:p w14:paraId="62DC289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-pomoći nacionalnim zajednicama i manjinama-Romi u iznosu od 1.211,41 eura,</w:t>
      </w:r>
    </w:p>
    <w:p w14:paraId="330D5CF4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-ostale naknade iz proračuna u naravi (financijska pomoć obiteljima za ulaganje u izgradnju i adaptaciju stambenih objekata) u iznosu od 37.000,00 eura</w:t>
      </w:r>
    </w:p>
    <w:p w14:paraId="22B3D668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-pomoć obiteljima-jednokratne pomoći u iznosu od 7.049,80 eura</w:t>
      </w:r>
    </w:p>
    <w:p w14:paraId="68351E7C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DF588E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Ostali rashodi (38)</w:t>
      </w:r>
      <w:r w:rsidRPr="005C0E8C">
        <w:rPr>
          <w:rFonts w:ascii="Times New Roman" w:hAnsi="Times New Roman" w:cs="Times New Roman"/>
          <w:sz w:val="24"/>
          <w:szCs w:val="24"/>
        </w:rPr>
        <w:t xml:space="preserve"> ostvareni su u iznosu od 299.270,35 eura, a odnose se na:</w:t>
      </w:r>
    </w:p>
    <w:p w14:paraId="0B5533CE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-tekuće donacije (vjerske zajednice, udruge građana i političke stranke, sportske udruge) u iznosu od 298.070,35 eura,</w:t>
      </w:r>
    </w:p>
    <w:p w14:paraId="5EB10EB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-kazne i naknade šteta (naknade šteta pravnim i fizičkim osobama za naknadu štete od elementarne nepogode – tuča) u iznosu od 1.200,00 eura</w:t>
      </w:r>
    </w:p>
    <w:p w14:paraId="498F95F8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792A1B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510D92" w14:textId="4796D656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proizvedene dugotrajne imovine (42) </w:t>
      </w:r>
      <w:r w:rsidRPr="005C0E8C">
        <w:rPr>
          <w:rFonts w:ascii="Times New Roman" w:hAnsi="Times New Roman" w:cs="Times New Roman"/>
          <w:sz w:val="24"/>
          <w:szCs w:val="24"/>
        </w:rPr>
        <w:t>ostvareni su u iznosu od 827.137,74 eura. Na rashode za građevinske objekte utrošen je iznos od 758.120,37 eura, koji se odnosi na:</w:t>
      </w:r>
    </w:p>
    <w:p w14:paraId="57321A72" w14:textId="77777777" w:rsidR="005C0E8C" w:rsidRDefault="00CB1EDB" w:rsidP="005C0E8C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stambeni objekti (kuća s okućnicom) u iznosu od 50.400,00 eura</w:t>
      </w:r>
    </w:p>
    <w:p w14:paraId="4E8D9BE7" w14:textId="77777777" w:rsidR="005C0E8C" w:rsidRDefault="00CB1EDB" w:rsidP="005C0E8C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poslovni objekti ( uređenje svečane sale općine) u iznosu od 329.480,44 eura.</w:t>
      </w:r>
    </w:p>
    <w:p w14:paraId="7A0C64BA" w14:textId="77777777" w:rsidR="005C0E8C" w:rsidRDefault="00CB1EDB" w:rsidP="005C0E8C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ceste i ostali prometni objekti (asfaltiranje nerazvrstanih cesta i pješačko-biciklističkih staza) u iznosu od 192.755,70 eura.</w:t>
      </w:r>
    </w:p>
    <w:p w14:paraId="65A4B2CF" w14:textId="00F60AE3" w:rsidR="002F0B9D" w:rsidRPr="005C0E8C" w:rsidRDefault="00CB1EDB" w:rsidP="005C0E8C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ostale građevinske objekte ( rekonstrukcija društvenog doma, dogradnja dječjeg vrtića i izgradnja doma za starije i nemoćne osobe u iznosu od 185.484,23 eura.</w:t>
      </w:r>
    </w:p>
    <w:p w14:paraId="7A6C9E51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027194" w14:textId="3D8884C7" w:rsidR="002F0B9D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 rashode za nabavu postrojenja i opreme utrošen je iznos od 60.973,62 eura od čega se najveći dio u iznosu od 33.474,17 eura odnosi na nabavu uređaja po pojedinim društvenim domovima, te nabavu strojeva kosilica, dok se preostali dio odnosi na nabavu računala, opreme za grijanje, ventilaciju i hlađenje, te ostale instrumente.</w:t>
      </w:r>
    </w:p>
    <w:p w14:paraId="395A8B88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CC00D2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487220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III. OBRAZLOŽENJE POSEBNOG DIJELA PRORAČUNA</w:t>
      </w:r>
    </w:p>
    <w:p w14:paraId="0B4EF671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10518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Razdjel je, sukladno Pravilniku o proračunskim klasifikacijama, organizacijska razina utvrđena za potrebe planiranja i izvršavanja proračuna, a sastoji se od jedne ili više glava.</w:t>
      </w:r>
    </w:p>
    <w:p w14:paraId="123D64D4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1DD46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Status razdjela državnog proračuna dodjeljuje se ministarstvima i onim proračunskim korisnicima državnog proračuna koji su izravno odgovorni Hrvatskom saboru ili predsjedniku Republike Hrvatske dok se status razdjela proračuna jedinica lokalne i područne ( regionalne) samouprave može dodijeliti izvršnom tijelu, predstavničkom tijelu i upravnim tijelima.</w:t>
      </w:r>
    </w:p>
    <w:p w14:paraId="57A2B27A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A5C95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Sukladno gore citiranom Pravilniku, Proračun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sukladno Pravilniku o proračunskim klasifikacija strukturiran je s dva razdjela i tri glave.</w:t>
      </w:r>
    </w:p>
    <w:p w14:paraId="4E28D77B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DF6639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lastRenderedPageBreak/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aktivnosti i projekt pripadaju samo jednom programu.</w:t>
      </w:r>
    </w:p>
    <w:p w14:paraId="086158B3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948327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nastavku daje se pregled definiranih programa kroz koje se prati realizacija proračuna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2024. godini.</w:t>
      </w:r>
    </w:p>
    <w:p w14:paraId="71782484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1DC26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Rashodi poslovanja i rashodi za nabavu nefinancijske imovine iskazani su u posebnom dijelu proračuna u razdjelima prema proračunskim klasifikacijama.</w:t>
      </w:r>
    </w:p>
    <w:p w14:paraId="75B6E8C3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0C85C4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79CC5E" w14:textId="1C0E8BC0" w:rsidR="002F0B9D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1001- REDOVNA DJELATNOST OPĆINSKOG VIJEĆA </w:t>
      </w:r>
    </w:p>
    <w:p w14:paraId="40A1E95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21.467,17 eura. Navedena sredstva utrošena su na realizaciju sljedećih aktivnosti:</w:t>
      </w:r>
    </w:p>
    <w:p w14:paraId="1E82B655" w14:textId="77777777" w:rsidR="002F0B9D" w:rsidRPr="005C0E8C" w:rsidRDefault="00CB1EDB" w:rsidP="0074604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sredstva za rad Općinskog vijeća ( dnevnice, naknada predsjedniku, rashodi protokola) u iznosu od 17.989,83 eura.</w:t>
      </w:r>
    </w:p>
    <w:p w14:paraId="6E981B86" w14:textId="4881319A" w:rsidR="002F0B9D" w:rsidRDefault="00CB1EDB" w:rsidP="0074604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financiranje političkih stranaka u iznosu od 3.477,34 eura.</w:t>
      </w:r>
    </w:p>
    <w:p w14:paraId="1F58B3E5" w14:textId="1EBE45DA" w:rsidR="005C0E8C" w:rsidRDefault="005C0E8C" w:rsidP="005C0E8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8A71C6" w14:textId="77777777" w:rsidR="005C0E8C" w:rsidRPr="005C0E8C" w:rsidRDefault="005C0E8C" w:rsidP="005C0E8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64DC76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2002 -PRIPREMA, DONOŠENJE I PROVEDBA AKATA I MJERA IZ DJELOKRUGA IZVRŠNOG TIJELA</w:t>
      </w:r>
    </w:p>
    <w:p w14:paraId="27AC6025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555.876,06 eura. Navedena sredstva utrošena su na realizaciju sljedećih aktivnosti:</w:t>
      </w:r>
    </w:p>
    <w:p w14:paraId="1AF13AF1" w14:textId="77777777" w:rsidR="002F0B9D" w:rsidRPr="005C0E8C" w:rsidRDefault="00CB1EDB" w:rsidP="0074604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promidžba općine i ostale manifestacije – Dan općine u iznosu od 35.984,58 eura.</w:t>
      </w:r>
    </w:p>
    <w:p w14:paraId="336EFEAD" w14:textId="77777777" w:rsidR="002F0B9D" w:rsidRPr="005C0E8C" w:rsidRDefault="00CB1EDB" w:rsidP="0074604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administrativno, tehničko i stručno osoblje ( trošak plaće, doprinosa, naknada za prijevoz, te ostali nespomenuti rashodi) u iznosu od 458.337,33 eura.</w:t>
      </w:r>
    </w:p>
    <w:p w14:paraId="442D057E" w14:textId="77777777" w:rsidR="002F0B9D" w:rsidRPr="005C0E8C" w:rsidRDefault="00CB1EDB" w:rsidP="0074604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nabava dugotrajne opreme za potrebe Općine ( nabava opreme za hlađenje, računalna oprema, nabava jarbola sa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zastavama,te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ostala oprema) u iznosu od 61.554,15 eura.</w:t>
      </w:r>
    </w:p>
    <w:p w14:paraId="57FFCBDC" w14:textId="0B3C8FA4" w:rsidR="005C0E8C" w:rsidRDefault="005C0E8C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5F3C74" w14:textId="77777777" w:rsidR="005C0E8C" w:rsidRDefault="005C0E8C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79BD8F" w14:textId="4E3B6789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2003 – ODRŽAVANJE KOMUNALNE INFRASTRUKTURE </w:t>
      </w:r>
    </w:p>
    <w:p w14:paraId="5AE5B6F6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83.753,65 eura, navedena sredstva utrošena su na realizaciju sljedećih aktivnosti:</w:t>
      </w:r>
    </w:p>
    <w:p w14:paraId="39A8DCED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led javne rasvjete u iznosu od 6.456,42 eura</w:t>
      </w:r>
    </w:p>
    <w:p w14:paraId="1E30369C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javnih površina u iznosu od 12.033,76 eura</w:t>
      </w:r>
    </w:p>
    <w:p w14:paraId="3AABAF3A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gorivo, energija, komunikacije ( troškovi goriva, električne energije i plina, te telefona) u iznosu od 44.226,18 eura</w:t>
      </w:r>
    </w:p>
    <w:p w14:paraId="676E1285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opskrba vodom ( troškovi vode) u iznosu od 3.536,97 eura</w:t>
      </w:r>
    </w:p>
    <w:p w14:paraId="04C958FA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uređenje staze i ograde na mjesnim grobljima u iznosu 11.264,23 eura</w:t>
      </w:r>
    </w:p>
    <w:p w14:paraId="3B672E6F" w14:textId="77777777" w:rsidR="002F0B9D" w:rsidRPr="005C0E8C" w:rsidRDefault="00CB1EDB" w:rsidP="0074604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nabava strojeva-kosilica u iznosu od 6.236,09 eura</w:t>
      </w:r>
    </w:p>
    <w:p w14:paraId="006D3A56" w14:textId="3C64D0C3" w:rsidR="002F0B9D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A98CBB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6398D4" w14:textId="1C9FE019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 2004 – ZAŠTITA OKOLIŠA</w:t>
      </w:r>
    </w:p>
    <w:p w14:paraId="5F9C380F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36.083,45 eura, a navedena     sredstva utrošena su na realizaciju sljedećih aktivnosti:</w:t>
      </w:r>
    </w:p>
    <w:p w14:paraId="071F885F" w14:textId="77777777" w:rsidR="002F0B9D" w:rsidRPr="005C0E8C" w:rsidRDefault="00CB1EDB" w:rsidP="0074604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zaštita okoliša – odvoz smeća u iznosu od 18.838,25 eura</w:t>
      </w:r>
    </w:p>
    <w:p w14:paraId="5FBF4DB8" w14:textId="77777777" w:rsidR="002F0B9D" w:rsidRPr="005C0E8C" w:rsidRDefault="00CB1EDB" w:rsidP="0074604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uređenje divljih odlagališta opada u iznosu od 4.893,36 eura</w:t>
      </w:r>
    </w:p>
    <w:p w14:paraId="4915884D" w14:textId="77777777" w:rsidR="002F0B9D" w:rsidRPr="005C0E8C" w:rsidRDefault="00CB1EDB" w:rsidP="0074604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veterinarske usluge u iznosu od 4.357,09 eura</w:t>
      </w:r>
    </w:p>
    <w:p w14:paraId="5A1AC07F" w14:textId="77777777" w:rsidR="002F0B9D" w:rsidRPr="005C0E8C" w:rsidRDefault="00CB1EDB" w:rsidP="0074604F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lastRenderedPageBreak/>
        <w:t>usluge deratizacije i dezinsekcije u iznosu od 7.994,75 eura</w:t>
      </w:r>
    </w:p>
    <w:p w14:paraId="4F57AFC3" w14:textId="77777777" w:rsidR="002F0B9D" w:rsidRPr="005C0E8C" w:rsidRDefault="002F0B9D" w:rsidP="0074604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5A680B" w14:textId="61A7A497" w:rsidR="002F0B9D" w:rsidRPr="005C0E8C" w:rsidRDefault="00CB1EDB" w:rsidP="005C0E8C">
      <w:pPr>
        <w:pStyle w:val="Bezprored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2005 – PROSTORNO UREĐENJE I UNAPREĐENJE STANOVANJA</w:t>
      </w:r>
    </w:p>
    <w:p w14:paraId="71565ADD" w14:textId="77777777" w:rsidR="002F0B9D" w:rsidRPr="005C0E8C" w:rsidRDefault="00CB1EDB" w:rsidP="0074604F">
      <w:pPr>
        <w:pStyle w:val="Bezproreda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165.468,68 eura, navedena sredstva utrošena su na realizaciju sljedećih aktivnosti:</w:t>
      </w:r>
    </w:p>
    <w:p w14:paraId="18E8CD91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geodetsko-katastarske usluge u iznosu od 8.248,00 eura</w:t>
      </w:r>
    </w:p>
    <w:p w14:paraId="36230220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uređenje prostora izmjene i dopune prostornog plana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6.800,00 eura.</w:t>
      </w:r>
    </w:p>
    <w:p w14:paraId="78156648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Hrženica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23.942,16 eura</w:t>
      </w:r>
    </w:p>
    <w:p w14:paraId="6801BE22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18.825,91 eura</w:t>
      </w:r>
    </w:p>
    <w:p w14:paraId="25E8006F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i uređenje građevinskih objekata ( društveni dom, grobna kuća, nogometni klub i prostorije udruga) – mjesni odbor Struga u iznosu od 12.734,63 eura</w:t>
      </w:r>
    </w:p>
    <w:p w14:paraId="5065733F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Karlovec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Ludbreški u iznosu od 13.141,38 eura</w:t>
      </w:r>
    </w:p>
    <w:p w14:paraId="5F031851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i uređenje građevinskih objekata ( društveni dom, grobna kuća, nogometni klub i prostorije udruga) – mjesni odbor Sesvete Ludbreške u iznosu od 2.595,09 eura</w:t>
      </w:r>
    </w:p>
    <w:p w14:paraId="14C8D2DD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i uređenje građevinskih objekata ( društveni dom, grobna kuća, nogometni klub i prostorije udruga) – mjesni odbor Luka Ludbreška u iznosu od 6.237,79 eura</w:t>
      </w:r>
    </w:p>
    <w:p w14:paraId="774E304A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Priles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816,78 eura</w:t>
      </w:r>
    </w:p>
    <w:p w14:paraId="0D9F7614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Komarnica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Ludbreška u iznosu od 6.943,58 eura</w:t>
      </w:r>
    </w:p>
    <w:p w14:paraId="3981A606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i uređenje građevinskih objekata ( društveni dom, grobna kuća, nogometni klub i prostorije udruga) – mjesni odbor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Obrankovec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7.509,47 eura</w:t>
      </w:r>
    </w:p>
    <w:p w14:paraId="3DCAF5F8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održavanje i uređenje građevinskih objekata – poslovni prostor u zgradi općine u iznosu od  23.709,70 eura</w:t>
      </w:r>
    </w:p>
    <w:p w14:paraId="2E4AF101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uređenje kanala u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Strugi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i Karlovcu Ludbreškom u iznosu od 1.473,06 eura</w:t>
      </w:r>
    </w:p>
    <w:p w14:paraId="0C0C78E6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održavanje nerazvrstanih cesta –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šljunčanje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poljskih puteva u iznosu od 27.864,38 eura</w:t>
      </w:r>
    </w:p>
    <w:p w14:paraId="5586D89C" w14:textId="77777777" w:rsidR="002F0B9D" w:rsidRPr="005C0E8C" w:rsidRDefault="00CB1EDB" w:rsidP="005C0E8C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uređenje zapuštenih objekata po naseljima općine u iznosu od 4.626,75 eura</w:t>
      </w:r>
    </w:p>
    <w:p w14:paraId="3130B655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9F8528" w14:textId="43FCBD02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    Program 2006 – RAZVOJ POLJOPRIVREDE</w:t>
      </w:r>
    </w:p>
    <w:p w14:paraId="45C40A80" w14:textId="77777777" w:rsidR="002F0B9D" w:rsidRPr="005C0E8C" w:rsidRDefault="00CB1EDB" w:rsidP="0074604F">
      <w:pPr>
        <w:pStyle w:val="Bezproreda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25.880,00 eura, navedena sredstva utrošena su na realizaciju sljedećih aktivnosti:</w:t>
      </w:r>
    </w:p>
    <w:p w14:paraId="0CD3A878" w14:textId="77777777" w:rsidR="002F0B9D" w:rsidRPr="005C0E8C" w:rsidRDefault="00CB1EDB" w:rsidP="005C0E8C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subvencije poljoprivrednicima ( novčane potpore proizvođačima mlijeka i uzgajivačima svinja) u iznosu od 23.630,00 eura</w:t>
      </w:r>
    </w:p>
    <w:p w14:paraId="2EF2C083" w14:textId="77777777" w:rsidR="002F0B9D" w:rsidRPr="005C0E8C" w:rsidRDefault="00CB1EDB" w:rsidP="005C0E8C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subvencije obrtnicima ( novčane potpore mladim obrtnicima s područja općine) u iznosu od 2.250,00 eura</w:t>
      </w:r>
    </w:p>
    <w:p w14:paraId="31D02EEB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565880" w14:textId="037BDEA2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2007 – IZGRADNJA OBJEKATA KOMUNALNE INFRASTRUKTURE </w:t>
      </w:r>
    </w:p>
    <w:p w14:paraId="7A8E02E2" w14:textId="15B83F74" w:rsidR="002F0B9D" w:rsidRPr="005C0E8C" w:rsidRDefault="005C0E8C" w:rsidP="0074604F">
      <w:pPr>
        <w:pStyle w:val="Bezproreda"/>
        <w:ind w:lef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B1EDB" w:rsidRPr="005C0E8C">
        <w:rPr>
          <w:rFonts w:ascii="Times New Roman" w:hAnsi="Times New Roman" w:cs="Times New Roman"/>
          <w:sz w:val="24"/>
          <w:szCs w:val="24"/>
        </w:rPr>
        <w:t xml:space="preserve"> okviru navedenog programa utrošena su sredstva u iznosu od 676.342,84 eura, navedena sredstva  utrošena su na realizaciju sljedećih aktivnosti:</w:t>
      </w:r>
    </w:p>
    <w:p w14:paraId="351196E2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izgradnja pješačko-biciklističke staze po naseljima općine uz lokalne i županijske ceste u iznosu od 86.914,46 eura</w:t>
      </w:r>
    </w:p>
    <w:p w14:paraId="7ED61C76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trošak konzultantskih kuća -izrada projekta u iznosu od 8.250,00 eura</w:t>
      </w:r>
    </w:p>
    <w:p w14:paraId="770EDC31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uređenje proizvodno-poslovnog prostora u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Strugi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 iznosu od 6.912,00 eura</w:t>
      </w:r>
    </w:p>
    <w:p w14:paraId="1022316D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izgradnja dječjeg igrališta vrtić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u iznosu od 6.957,50 eura</w:t>
      </w:r>
    </w:p>
    <w:p w14:paraId="0ACECC30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izgradnja nerazvrstanih cesta – asfaltiranje prometnica u iznosu od 75.694,55 eura</w:t>
      </w:r>
    </w:p>
    <w:p w14:paraId="3A7BF9A5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izgradnja projektne dokumentacije i građenje zgrade javne i društvene namjene (dom za dnevni boravak starijih osoba sa smještajnim jedinicama u iznosu od 209.331,67 eura</w:t>
      </w:r>
    </w:p>
    <w:p w14:paraId="41250F39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izgradnja prilazne ceste sa javnom rasvjetom za romska naselja u iznosu od 30.152,94 eura</w:t>
      </w:r>
    </w:p>
    <w:p w14:paraId="45C5E735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dogradnja dječjeg vrtića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” u iznosu od 123.129,27 eura</w:t>
      </w:r>
    </w:p>
    <w:p w14:paraId="5443AC80" w14:textId="77777777" w:rsidR="002F0B9D" w:rsidRPr="005C0E8C" w:rsidRDefault="00CB1EDB" w:rsidP="0074604F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energetska obnova javnih objekata (društveni domovi) u iznosu od 129.000,45 eura</w:t>
      </w:r>
    </w:p>
    <w:p w14:paraId="433D98F2" w14:textId="76CE5CEA" w:rsidR="002F0B9D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CF7ACF" w14:textId="77777777" w:rsidR="005C0E8C" w:rsidRP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62701D" w14:textId="2D4B410F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2008 – PROMICANJE KULTURE </w:t>
      </w:r>
    </w:p>
    <w:p w14:paraId="6873F10F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 utrošena su sredstva u iznosu od 74.081,10 eura, navedena sredstva utrošena su na realizaciju na sljedećih aktivnosti:</w:t>
      </w:r>
    </w:p>
    <w:p w14:paraId="42F3B546" w14:textId="77777777" w:rsidR="002F0B9D" w:rsidRPr="005C0E8C" w:rsidRDefault="00CB1EDB" w:rsidP="0074604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sufinanciranje programa udruga i KUD-ova u kulturi ( odluka o odabiru programa/projekta za dodjelu financijske potpore) u iznosu od 66.545,47eura</w:t>
      </w:r>
    </w:p>
    <w:p w14:paraId="1A7E1CB1" w14:textId="77777777" w:rsidR="002F0B9D" w:rsidRPr="005C0E8C" w:rsidRDefault="00CB1EDB" w:rsidP="0074604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informiranje putem Radio Ludbrega (pomoć za redovan rad) u iznosu od 2.750,00 eura</w:t>
      </w:r>
    </w:p>
    <w:p w14:paraId="731F791B" w14:textId="77777777" w:rsidR="002F0B9D" w:rsidRPr="005C0E8C" w:rsidRDefault="00CB1EDB" w:rsidP="0074604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likovna kolonija ( slikanje povodom manifestacije Dana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) u iznosu od 4.785,63 eura</w:t>
      </w:r>
    </w:p>
    <w:p w14:paraId="1975F39A" w14:textId="77777777" w:rsidR="002F0B9D" w:rsidRPr="005C0E8C" w:rsidRDefault="002F0B9D" w:rsidP="0074604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7CC019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3835E4" w14:textId="3B0BA62E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2009 – RAZVOJ SPORTA I REKREACIJE </w:t>
      </w:r>
    </w:p>
    <w:p w14:paraId="5B78469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101.201,88 eura, navedena sredstva utrošena su na realizaciju sljedećih aktivnosti:</w:t>
      </w:r>
    </w:p>
    <w:p w14:paraId="3038013E" w14:textId="77777777" w:rsidR="002F0B9D" w:rsidRPr="005C0E8C" w:rsidRDefault="00CB1EDB" w:rsidP="0074604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sufinanciranje rada Zajednice sportskih udruga ( novčana pomoć nogometnim klubovima i Nogometnom centru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) u iznosu od 101.201,88 eura</w:t>
      </w:r>
    </w:p>
    <w:p w14:paraId="6F9475D2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78F260" w14:textId="77777777" w:rsidR="002F0B9D" w:rsidRPr="005C0E8C" w:rsidRDefault="002F0B9D" w:rsidP="0074604F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F714BC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2010 -RELIGIJSKE JAVNE POTREBE </w:t>
      </w:r>
    </w:p>
    <w:p w14:paraId="0DFCC7CD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okviru navedenog programa za rimokatoličku crkvu Sveti Juraj utrošena su sredstva u iznosu od 4.000,00 eura </w:t>
      </w:r>
    </w:p>
    <w:p w14:paraId="3589C483" w14:textId="77777777" w:rsidR="002F0B9D" w:rsidRPr="005C0E8C" w:rsidRDefault="002F0B9D" w:rsidP="0074604F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44A28C" w14:textId="77777777" w:rsidR="002F0B9D" w:rsidRPr="005C0E8C" w:rsidRDefault="002F0B9D" w:rsidP="0074604F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095B0B" w14:textId="51EBDA6E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2011 – SOCIJALNA SKRB</w:t>
      </w:r>
    </w:p>
    <w:p w14:paraId="0DF6C157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131.218,35 eura, navedena sredstva trošena su na realizaciju sljedećih aktivnosti:</w:t>
      </w:r>
    </w:p>
    <w:p w14:paraId="4E63E253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pomoć obitelji -jednokratne pomoći  u iznosu od 7.049,80 eura</w:t>
      </w:r>
    </w:p>
    <w:p w14:paraId="68EE5B13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pomoć za novorođenu djecu ( isplata naknade za novorođenče) u iznosu od 4.800,00 eura</w:t>
      </w:r>
    </w:p>
    <w:p w14:paraId="1B28C856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pomoć obiteljima-darovi za djecu u iznosu od 3.513,27 eura</w:t>
      </w:r>
    </w:p>
    <w:p w14:paraId="069A5C52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lastRenderedPageBreak/>
        <w:t xml:space="preserve">pomoć umirovljenicima – prigodna nagrada ( božićnica 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umirovljenicima i osobama sa nižim mirovinama) u iznosu od 69.913,85 eura</w:t>
      </w:r>
    </w:p>
    <w:p w14:paraId="6AD4576E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humanitarna skrb i drugi interesi građana – Crveni križ ( sufinanciranje Crvenog križa) u iznosu od 7.730,02 eura</w:t>
      </w:r>
    </w:p>
    <w:p w14:paraId="6F2B0627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pomoć nacionalnim zajednicama i manjinama Romi ( uplata prijevoza i izleta za učenika pripadnike nacionalne manjine ) u iznosu od 1.211,41 eura</w:t>
      </w:r>
    </w:p>
    <w:p w14:paraId="6097F549" w14:textId="77777777" w:rsidR="002F0B9D" w:rsidRPr="005C0E8C" w:rsidRDefault="00CB1EDB" w:rsidP="0074604F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financijska pomoć obiteljima za ulaganje u izgradnju i adaptaciju stambenih objekata ( financijska pomoć za ulaganje u izgradnju novog ili adaptaciju i uređenje postojećeg stambenog objekta na području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- mlade obitelji) u iznosu od 37.000,00 eura </w:t>
      </w:r>
    </w:p>
    <w:p w14:paraId="40A9D9BF" w14:textId="77777777" w:rsidR="002F0B9D" w:rsidRPr="005C0E8C" w:rsidRDefault="002F0B9D" w:rsidP="0074604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134143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2012- ZAŠTITA OD POŽARA </w:t>
      </w:r>
    </w:p>
    <w:p w14:paraId="266E3B54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67.956,44 eura. Navedena sredstva utrošena su na realizaciju sljedećih aktivnosti:</w:t>
      </w:r>
    </w:p>
    <w:p w14:paraId="6DE6DFA7" w14:textId="77777777" w:rsidR="002F0B9D" w:rsidRPr="005C0E8C" w:rsidRDefault="00CB1EDB" w:rsidP="005C0E8C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osnovna djelatnost vatrogasne zajednice ( sufinanciranje VZO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) u iznosu od 55.000,00 eura</w:t>
      </w:r>
    </w:p>
    <w:p w14:paraId="4D1EF736" w14:textId="77777777" w:rsidR="002F0B9D" w:rsidRPr="005C0E8C" w:rsidRDefault="00CB1EDB" w:rsidP="005C0E8C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dobrovoljna vatrogasna društva ( prijenos sredstva dobrovoljnim vatrogasnim društvima s područja općine za kupnju opreme i uniformi, te održavanja vatrogasnih natjecanja ) u iznosu od 8.140,34 eura</w:t>
      </w:r>
    </w:p>
    <w:p w14:paraId="37FEC209" w14:textId="77777777" w:rsidR="002F0B9D" w:rsidRPr="005C0E8C" w:rsidRDefault="00CB1EDB" w:rsidP="005C0E8C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hrvatska gorska služba spašavanja u iznosu od 1.500,00 eura</w:t>
      </w:r>
    </w:p>
    <w:p w14:paraId="4366B0EE" w14:textId="77777777" w:rsidR="002F0B9D" w:rsidRPr="005C0E8C" w:rsidRDefault="00CB1EDB" w:rsidP="005C0E8C">
      <w:pPr>
        <w:pStyle w:val="Bezprored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izgradnja vatrogasnog spremišta – DVD Struga ( dogradnja vatrogasnog spremišta)  u iznosu od 3.316,10 eura</w:t>
      </w:r>
    </w:p>
    <w:p w14:paraId="559E763F" w14:textId="48937FAD" w:rsidR="002F0B9D" w:rsidRPr="005C0E8C" w:rsidRDefault="002F0B9D" w:rsidP="005C0E8C">
      <w:pPr>
        <w:pStyle w:val="Bezproreda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A58CE61" w14:textId="77777777" w:rsidR="002F0B9D" w:rsidRPr="005C0E8C" w:rsidRDefault="002F0B9D" w:rsidP="0074604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E777C9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  <w:u w:val="single"/>
        </w:rPr>
        <w:t>GLAVA 002 03: Obrazovanje ( predškolski odgoj,  osnovno, srednjoškolko i visoko)</w:t>
      </w:r>
    </w:p>
    <w:p w14:paraId="60EB0ACC" w14:textId="77777777" w:rsidR="002F0B9D" w:rsidRPr="005C0E8C" w:rsidRDefault="002F0B9D" w:rsidP="0074604F">
      <w:pPr>
        <w:pStyle w:val="Bezprored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0A1777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3001 – PREDŠKOLSKI ODGOJ</w:t>
      </w:r>
    </w:p>
    <w:p w14:paraId="02330487" w14:textId="77777777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467.469,22 eura. Navedena sredstva utrošena su na:</w:t>
      </w:r>
    </w:p>
    <w:p w14:paraId="7A416FC7" w14:textId="77777777" w:rsidR="002F0B9D" w:rsidRPr="005C0E8C" w:rsidRDefault="00CB1EDB" w:rsidP="0074604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redovan rad dječjeg vrtića „ 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( plaće, doprinosi, troškovi energije, namirnica, uredski materijal, službena radna odjeća, komunalne usluge) u iznosu od 467.469,22 eura</w:t>
      </w:r>
    </w:p>
    <w:p w14:paraId="77C42EDA" w14:textId="77777777" w:rsid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1D165F2" w14:textId="69C9A4CD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3002 – OSNOVNOŠKOLSKO OBRAZOVANJE</w:t>
      </w:r>
    </w:p>
    <w:p w14:paraId="3522DC1D" w14:textId="77777777" w:rsid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74.279,58 eura.</w:t>
      </w:r>
    </w:p>
    <w:p w14:paraId="1D1F2507" w14:textId="10981323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Navedena sredstva utrošena su na realizaciju sljedećih aktivnosti:</w:t>
      </w:r>
    </w:p>
    <w:p w14:paraId="4EDC46D2" w14:textId="77777777" w:rsidR="002F0B9D" w:rsidRPr="005C0E8C" w:rsidRDefault="00CB1EDB" w:rsidP="0074604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sufinanciranje radnih bilježnica, prijevoza, natjecanja i produženog boravka učenika osnovne škole u ukupnom iznosu od 60.910,94 eura</w:t>
      </w:r>
    </w:p>
    <w:p w14:paraId="7395D8DA" w14:textId="77777777" w:rsidR="002F0B9D" w:rsidRPr="005C0E8C" w:rsidRDefault="00CB1EDB" w:rsidP="0074604F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sufinanciranje dogradnje osnovne škole- najam u iznosu od 13.368,64 eura</w:t>
      </w:r>
    </w:p>
    <w:p w14:paraId="2A947043" w14:textId="77777777" w:rsidR="005C0E8C" w:rsidRDefault="005C0E8C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CC8F63" w14:textId="0DA914ED" w:rsid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3003 – SREDNJOŠKOLSKO OBRAZOVANJE </w:t>
      </w:r>
    </w:p>
    <w:p w14:paraId="3DC62728" w14:textId="34AE324D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14.904,17 eura. Navedena   sredstva utrošena su na:</w:t>
      </w:r>
    </w:p>
    <w:p w14:paraId="75D91068" w14:textId="77777777" w:rsidR="002F0B9D" w:rsidRPr="005C0E8C" w:rsidRDefault="00CB1EDB" w:rsidP="0074604F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sufinanciranje cijene prijevoza učenika srednjih škola u iznosu od 14.904,17 eura</w:t>
      </w:r>
    </w:p>
    <w:p w14:paraId="395C6D3F" w14:textId="77777777" w:rsid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7724E70" w14:textId="425105E8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 xml:space="preserve">Program 3004 – VISOKOŠKOLSKO OBRAZOVANJE </w:t>
      </w:r>
    </w:p>
    <w:p w14:paraId="01EEA0B2" w14:textId="77777777" w:rsid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24.300,00 eura.</w:t>
      </w:r>
    </w:p>
    <w:p w14:paraId="2B8DAA77" w14:textId="3CEA41E4" w:rsidR="002F0B9D" w:rsidRPr="005C0E8C" w:rsidRDefault="00CB1EDB" w:rsidP="005C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Navedena sredstva utrošena su na realizaciju sljedećih aktivnosti:</w:t>
      </w:r>
    </w:p>
    <w:p w14:paraId="74D151AC" w14:textId="3A97907A" w:rsidR="002F0B9D" w:rsidRDefault="00CB1EDB" w:rsidP="0074604F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lastRenderedPageBreak/>
        <w:t xml:space="preserve">jednokratne pomoći studentima ( pomoći studentima s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) u iznosu od 24.300,00 eura</w:t>
      </w:r>
    </w:p>
    <w:p w14:paraId="447ACAF7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372767" w14:textId="35C92E30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Program 3005 – SUFINANCIRANJE TROŠKOVA BORAVKA DJECE U DJEČJIM VRTIĆIMA IZVAN OPĆINE SVETI ĐURĐ</w:t>
      </w:r>
    </w:p>
    <w:p w14:paraId="67EF4DE4" w14:textId="3E4CF519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U okviru navedenog programa utrošena su sredstva u iznosu od 720,00 eura.</w:t>
      </w:r>
    </w:p>
    <w:p w14:paraId="628C1BDD" w14:textId="01FDB3B8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Navedena sredstva utrošena su na realizaciju sljedećih aktivnosti:</w:t>
      </w:r>
    </w:p>
    <w:p w14:paraId="3415C6AD" w14:textId="18E09FBC" w:rsidR="002F0B9D" w:rsidRPr="005C0E8C" w:rsidRDefault="00CB1EDB" w:rsidP="005C0E8C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sufinanciranje troškova boravka djece u vrtićima izvan općine u iznosu od 720,00 eura.</w:t>
      </w:r>
    </w:p>
    <w:p w14:paraId="4273A913" w14:textId="67936288" w:rsidR="002F0B9D" w:rsidRPr="005C0E8C" w:rsidRDefault="002F0B9D" w:rsidP="005C0E8C">
      <w:pPr>
        <w:pStyle w:val="Bezproreda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6A2A09A7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74B39C" w14:textId="2C30802A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IV. IZVJEŠTAJ O DANIM JAMSTVIMA I IZDACIMA PO JAMSTVIMA</w:t>
      </w:r>
    </w:p>
    <w:p w14:paraId="591B3C3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Prema podacima Jedinstvenog upravnog odjela, Općina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vodi dana i primljena jamstva prema sljedećim podacima:</w:t>
      </w:r>
    </w:p>
    <w:p w14:paraId="04E0F973" w14:textId="46E9DAD8" w:rsidR="002F0B9D" w:rsidRPr="005C0E8C" w:rsidRDefault="00CB1EDB" w:rsidP="0074604F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primljene bjan</w:t>
      </w:r>
      <w:r w:rsidR="005C0E8C">
        <w:rPr>
          <w:rFonts w:ascii="Times New Roman" w:hAnsi="Times New Roman" w:cs="Times New Roman"/>
          <w:sz w:val="24"/>
          <w:szCs w:val="24"/>
        </w:rPr>
        <w:t>k</w:t>
      </w:r>
      <w:r w:rsidRPr="005C0E8C">
        <w:rPr>
          <w:rFonts w:ascii="Times New Roman" w:hAnsi="Times New Roman" w:cs="Times New Roman"/>
          <w:sz w:val="24"/>
          <w:szCs w:val="24"/>
        </w:rPr>
        <w:t>o zadužnice kao jamstvo za ozbiljnost ponude ili za uredno ispunjenje ugovora kod jednostavnih i javnih nabava.</w:t>
      </w:r>
    </w:p>
    <w:p w14:paraId="45CE557E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B29CC4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4C473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V. IZVJEŠTAJ O KORIŠTENJU PRORAČUNSKE ZALIHE</w:t>
      </w:r>
    </w:p>
    <w:p w14:paraId="156140ED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9312" w14:textId="7785F185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Temeljem članka 65. Zakona o Proračunu („Narodne novine“ broj 144/21</w:t>
      </w:r>
      <w:r w:rsidR="005C0E8C">
        <w:rPr>
          <w:rFonts w:ascii="Times New Roman" w:hAnsi="Times New Roman" w:cs="Times New Roman"/>
          <w:sz w:val="24"/>
          <w:szCs w:val="24"/>
        </w:rPr>
        <w:t>.</w:t>
      </w:r>
      <w:r w:rsidRPr="005C0E8C">
        <w:rPr>
          <w:rFonts w:ascii="Times New Roman" w:hAnsi="Times New Roman" w:cs="Times New Roman"/>
          <w:sz w:val="24"/>
          <w:szCs w:val="24"/>
        </w:rPr>
        <w:t>) propisano je da se u proračunu utvrđuju sredstva za proračunsku zalihu.</w:t>
      </w:r>
    </w:p>
    <w:p w14:paraId="7D8B049C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3CC42A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Sredstva proračunske zalihe mogu iznositi najviše 0,50 proračunskih prihoda bez primitaka, a visina sredstva proračunske zalihe utvrđuju se Odlukom o izvršenju Proračuna.</w:t>
      </w:r>
    </w:p>
    <w:p w14:paraId="0B3E63E4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8AD321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Sukladno Zakonu, sredstva proračunske zalihe mogu se koristiti za financiranje rashoda nastalih pri otklanjanju posljedica elementarnih nepogoda, epidemija, ekoloških i ostalih nepredvidivih nesreća odnosno izvanrednih događaja tijekom godine.</w:t>
      </w:r>
    </w:p>
    <w:p w14:paraId="2FD286C2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89E5D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O korištenju proračunske zalihe odlučuje Općinski načelnik, te je dužan o istome izvijestiti Općinsko vijeće.</w:t>
      </w:r>
    </w:p>
    <w:p w14:paraId="2630201E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4CD992" w14:textId="77777777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U  2024. godine Općina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nije koristila  sredstva proračunske zalihe.</w:t>
      </w:r>
    </w:p>
    <w:p w14:paraId="62437221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93D9B8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E4FC0" w14:textId="688F754C" w:rsidR="002F0B9D" w:rsidRPr="005C0E8C" w:rsidRDefault="00CD7833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VI. IZVJEŠTAJ O STANJU NENAPLAĆENIH POTRAŽIVANJA I OBVEZA</w:t>
      </w:r>
    </w:p>
    <w:p w14:paraId="02E03E84" w14:textId="6FCAFC08" w:rsidR="00CD7833" w:rsidRPr="005C0E8C" w:rsidRDefault="00CD7833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A71FB" w14:textId="1F6C4208" w:rsidR="00674CFB" w:rsidRPr="005C0E8C" w:rsidRDefault="00CD7833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Na dan 31.12.2024.godine stanje nenaplaćenih potraživanja </w:t>
      </w:r>
      <w:r w:rsidR="00E93F4A" w:rsidRPr="005C0E8C">
        <w:rPr>
          <w:rFonts w:ascii="Times New Roman" w:hAnsi="Times New Roman" w:cs="Times New Roman"/>
          <w:sz w:val="24"/>
          <w:szCs w:val="24"/>
        </w:rPr>
        <w:t xml:space="preserve">Općine Sveti </w:t>
      </w:r>
      <w:proofErr w:type="spellStart"/>
      <w:r w:rsidR="00E93F4A"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="00E93F4A" w:rsidRPr="005C0E8C">
        <w:rPr>
          <w:rFonts w:ascii="Times New Roman" w:hAnsi="Times New Roman" w:cs="Times New Roman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>iznosi</w:t>
      </w:r>
      <w:r w:rsidR="00674CFB" w:rsidRPr="005C0E8C">
        <w:rPr>
          <w:rFonts w:ascii="Times New Roman" w:hAnsi="Times New Roman" w:cs="Times New Roman"/>
          <w:sz w:val="24"/>
          <w:szCs w:val="24"/>
        </w:rPr>
        <w:t xml:space="preserve"> 94.133,04 eura i to: potraživanja za poreze u iznosu od 25.583,85 eura, potraživanja za poreze od imovine u iznosu od 8.386,20 eura, potraživanja za upravne i administrativne pristojbe, pristojbe po posebnim propisima i naknade u iznosu od 60.162,99 eura.</w:t>
      </w:r>
    </w:p>
    <w:p w14:paraId="172E003B" w14:textId="7CB15A13" w:rsidR="00E93F4A" w:rsidRPr="005C0E8C" w:rsidRDefault="00E93F4A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Stanje nenaplaćenih potraživanja proračunskog korisnika Dječjeg vrtića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na dan 31.12.2024.godine iznose 50,60 eura, a odnose se na potraživanja za upravne i administrativne pristojbe, pristojbe po posebnim propisima i naknade.</w:t>
      </w:r>
    </w:p>
    <w:p w14:paraId="6B780FA4" w14:textId="77777777" w:rsidR="00674CFB" w:rsidRPr="005C0E8C" w:rsidRDefault="00674CF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BE002E" w14:textId="52749036" w:rsidR="00674CFB" w:rsidRPr="005C0E8C" w:rsidRDefault="00674CF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Stanje obveza na dan 31.12.2024.godine iznosi 105.201,05 eura i to: dospjele obveze za materijalne rashode u iznosu od 34.478,13 eura, obveze za subvencije u iznosu od 120,00 eura, obveze za naknade građanima i kućanstvima u iznosu od 25.212,66 eura, ostale tekuće </w:t>
      </w:r>
      <w:r w:rsidRPr="005C0E8C">
        <w:rPr>
          <w:rFonts w:ascii="Times New Roman" w:hAnsi="Times New Roman" w:cs="Times New Roman"/>
          <w:sz w:val="24"/>
          <w:szCs w:val="24"/>
        </w:rPr>
        <w:lastRenderedPageBreak/>
        <w:t xml:space="preserve">obveze u iznosu od 1.652,90 </w:t>
      </w:r>
      <w:r w:rsidR="00402C5E" w:rsidRPr="005C0E8C">
        <w:rPr>
          <w:rFonts w:ascii="Times New Roman" w:hAnsi="Times New Roman" w:cs="Times New Roman"/>
          <w:sz w:val="24"/>
          <w:szCs w:val="24"/>
        </w:rPr>
        <w:t>eura i obveze za nabavu nefinancijske imovine u iznosu od 17.795,55 eura</w:t>
      </w:r>
      <w:r w:rsidR="002B72F0" w:rsidRPr="005C0E8C">
        <w:rPr>
          <w:rFonts w:ascii="Times New Roman" w:hAnsi="Times New Roman" w:cs="Times New Roman"/>
          <w:sz w:val="24"/>
          <w:szCs w:val="24"/>
        </w:rPr>
        <w:t>, te nedospjele obveze za rashode poslovanja u iznosu od 25.941,81 eura.</w:t>
      </w:r>
    </w:p>
    <w:p w14:paraId="5CCD413B" w14:textId="66D9A55C" w:rsidR="00E93F4A" w:rsidRPr="005C0E8C" w:rsidRDefault="00E93F4A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Stanje obveza proračunskog korisnika Dječjeg vrtića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iskazano na dan 31.12.2024.godine iznosi</w:t>
      </w:r>
      <w:r w:rsidR="008B324E" w:rsidRPr="005C0E8C">
        <w:rPr>
          <w:rFonts w:ascii="Times New Roman" w:hAnsi="Times New Roman" w:cs="Times New Roman"/>
          <w:sz w:val="24"/>
          <w:szCs w:val="24"/>
        </w:rPr>
        <w:t xml:space="preserve"> </w:t>
      </w:r>
      <w:r w:rsidRPr="005C0E8C">
        <w:rPr>
          <w:rFonts w:ascii="Times New Roman" w:hAnsi="Times New Roman" w:cs="Times New Roman"/>
          <w:sz w:val="24"/>
          <w:szCs w:val="24"/>
        </w:rPr>
        <w:t xml:space="preserve">36.889,33 eura i od toga dospjele obveze za materijalne rashode su u iznosu od 7.393,32 eura, dok su nedospjele obveze u iznosu od </w:t>
      </w:r>
      <w:r w:rsidR="008B324E" w:rsidRPr="005C0E8C">
        <w:rPr>
          <w:rFonts w:ascii="Times New Roman" w:hAnsi="Times New Roman" w:cs="Times New Roman"/>
          <w:sz w:val="24"/>
          <w:szCs w:val="24"/>
        </w:rPr>
        <w:t>29.496,01 eura.</w:t>
      </w:r>
    </w:p>
    <w:p w14:paraId="64211574" w14:textId="77777777" w:rsidR="00402C5E" w:rsidRPr="005C0E8C" w:rsidRDefault="00402C5E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3E49B2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66AF2" w14:textId="3690DB6A" w:rsidR="002F0B9D" w:rsidRPr="005C0E8C" w:rsidRDefault="00CB1EDB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D7833" w:rsidRPr="005C0E8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C0E8C">
        <w:rPr>
          <w:rFonts w:ascii="Times New Roman" w:hAnsi="Times New Roman" w:cs="Times New Roman"/>
          <w:b/>
          <w:bCs/>
          <w:sz w:val="24"/>
          <w:szCs w:val="24"/>
        </w:rPr>
        <w:t>. IZVJEŠTAJ O ZADUŽIVANJU NA DOMAĆEM I STRANOM TRŽIŠTU NOVCA I KAPITALA</w:t>
      </w:r>
    </w:p>
    <w:p w14:paraId="0F017280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D022B" w14:textId="2BA3CD1B" w:rsidR="00397EE2" w:rsidRPr="005C0E8C" w:rsidRDefault="00CB1EDB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Na dan 31.12.2024.godine obveze za kredite i zajmove Općine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iznose 0,00 eura.</w:t>
      </w:r>
    </w:p>
    <w:p w14:paraId="725B8C5E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549E6" w14:textId="77777777" w:rsidR="005C0E8C" w:rsidRDefault="005C0E8C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3D852" w14:textId="3D24D5A7" w:rsidR="00397EE2" w:rsidRPr="005C0E8C" w:rsidRDefault="00397EE2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E8C">
        <w:rPr>
          <w:rFonts w:ascii="Times New Roman" w:hAnsi="Times New Roman" w:cs="Times New Roman"/>
          <w:b/>
          <w:bCs/>
          <w:sz w:val="24"/>
          <w:szCs w:val="24"/>
        </w:rPr>
        <w:t>VIII. IZVJEŠTAJ O STANJU POTENCIJALNIH OBVEZA PO OSNOVI SUDSKIH POSTUPAKA</w:t>
      </w:r>
    </w:p>
    <w:p w14:paraId="14B9DB64" w14:textId="39225775" w:rsidR="00397EE2" w:rsidRPr="005C0E8C" w:rsidRDefault="00397EE2" w:rsidP="0074604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1EBF5" w14:textId="38987331" w:rsidR="00397EE2" w:rsidRPr="005C0E8C" w:rsidRDefault="00397EE2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Općina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 i Proračunski korisnik Dječji vrtić „Suncokret Sveti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Đurđ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>“ nema potencijalnih obveza po osnovi sudskih postupaka.</w:t>
      </w:r>
    </w:p>
    <w:p w14:paraId="18E9A273" w14:textId="77777777" w:rsidR="002F0B9D" w:rsidRPr="005C0E8C" w:rsidRDefault="002F0B9D" w:rsidP="0074604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640449" w14:textId="2E3AB21D" w:rsidR="002F0B9D" w:rsidRPr="005C0E8C" w:rsidRDefault="002F0B9D" w:rsidP="0074604F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FDEC6" w14:textId="231CBD16" w:rsidR="0074604F" w:rsidRPr="005C0E8C" w:rsidRDefault="0074604F" w:rsidP="007460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>Pročelnica Jedinstvenog upravnog odjela</w:t>
      </w:r>
    </w:p>
    <w:p w14:paraId="208EA865" w14:textId="52E09E4F" w:rsidR="0074604F" w:rsidRPr="005C0E8C" w:rsidRDefault="0074604F" w:rsidP="0074604F">
      <w:pPr>
        <w:pStyle w:val="Bezproreda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Helena Vuk, mag. </w:t>
      </w:r>
      <w:proofErr w:type="spellStart"/>
      <w:r w:rsidRPr="005C0E8C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5C0E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5519E" w14:textId="77777777" w:rsidR="002F0B9D" w:rsidRPr="005C0E8C" w:rsidRDefault="00CB1ED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0E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B9D" w:rsidRPr="005C0E8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17B"/>
    <w:multiLevelType w:val="hybridMultilevel"/>
    <w:tmpl w:val="1A06B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18F9"/>
    <w:multiLevelType w:val="hybridMultilevel"/>
    <w:tmpl w:val="7B665E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904BB"/>
    <w:multiLevelType w:val="hybridMultilevel"/>
    <w:tmpl w:val="53FE99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B7AFD"/>
    <w:multiLevelType w:val="multilevel"/>
    <w:tmpl w:val="1F4ADE0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51EC8"/>
    <w:multiLevelType w:val="multilevel"/>
    <w:tmpl w:val="130ABC7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C32A07"/>
    <w:multiLevelType w:val="hybridMultilevel"/>
    <w:tmpl w:val="25E2C2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F2138"/>
    <w:multiLevelType w:val="multilevel"/>
    <w:tmpl w:val="247604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8458BD"/>
    <w:multiLevelType w:val="hybridMultilevel"/>
    <w:tmpl w:val="2E98C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0F13"/>
    <w:multiLevelType w:val="multilevel"/>
    <w:tmpl w:val="D9647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097544"/>
    <w:multiLevelType w:val="multilevel"/>
    <w:tmpl w:val="188CFC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72708F0"/>
    <w:multiLevelType w:val="multilevel"/>
    <w:tmpl w:val="2C10A5A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DE7DBD"/>
    <w:multiLevelType w:val="hybridMultilevel"/>
    <w:tmpl w:val="3446C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05730"/>
    <w:multiLevelType w:val="multilevel"/>
    <w:tmpl w:val="4F0E4DC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FF120B"/>
    <w:multiLevelType w:val="hybridMultilevel"/>
    <w:tmpl w:val="D58AA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27FD9"/>
    <w:multiLevelType w:val="multilevel"/>
    <w:tmpl w:val="1A42A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167E4E"/>
    <w:multiLevelType w:val="multilevel"/>
    <w:tmpl w:val="A6E63D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71623E"/>
    <w:multiLevelType w:val="multilevel"/>
    <w:tmpl w:val="75B8A4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B706C1"/>
    <w:multiLevelType w:val="multilevel"/>
    <w:tmpl w:val="9E64FB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BE0D2C"/>
    <w:multiLevelType w:val="hybridMultilevel"/>
    <w:tmpl w:val="1E724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26BB1"/>
    <w:multiLevelType w:val="hybridMultilevel"/>
    <w:tmpl w:val="42BEE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4AB1"/>
    <w:multiLevelType w:val="hybridMultilevel"/>
    <w:tmpl w:val="6C7E9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F0395"/>
    <w:multiLevelType w:val="multilevel"/>
    <w:tmpl w:val="1D3E26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A43096"/>
    <w:multiLevelType w:val="multilevel"/>
    <w:tmpl w:val="521C81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D0ED9"/>
    <w:multiLevelType w:val="hybridMultilevel"/>
    <w:tmpl w:val="808A9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66848"/>
    <w:multiLevelType w:val="hybridMultilevel"/>
    <w:tmpl w:val="D15AE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3BDD"/>
    <w:multiLevelType w:val="hybridMultilevel"/>
    <w:tmpl w:val="77AC68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D0270E"/>
    <w:multiLevelType w:val="multilevel"/>
    <w:tmpl w:val="DF787AE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E233CE"/>
    <w:multiLevelType w:val="multilevel"/>
    <w:tmpl w:val="4F96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5B0875"/>
    <w:multiLevelType w:val="hybridMultilevel"/>
    <w:tmpl w:val="58A87EB8"/>
    <w:lvl w:ilvl="0" w:tplc="4E428EE4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CE40869"/>
    <w:multiLevelType w:val="hybridMultilevel"/>
    <w:tmpl w:val="9C283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3"/>
  </w:num>
  <w:num w:numId="5">
    <w:abstractNumId w:val="15"/>
  </w:num>
  <w:num w:numId="6">
    <w:abstractNumId w:val="22"/>
  </w:num>
  <w:num w:numId="7">
    <w:abstractNumId w:val="21"/>
  </w:num>
  <w:num w:numId="8">
    <w:abstractNumId w:val="8"/>
  </w:num>
  <w:num w:numId="9">
    <w:abstractNumId w:val="27"/>
  </w:num>
  <w:num w:numId="10">
    <w:abstractNumId w:val="17"/>
  </w:num>
  <w:num w:numId="11">
    <w:abstractNumId w:val="6"/>
  </w:num>
  <w:num w:numId="12">
    <w:abstractNumId w:val="4"/>
  </w:num>
  <w:num w:numId="13">
    <w:abstractNumId w:val="26"/>
  </w:num>
  <w:num w:numId="14">
    <w:abstractNumId w:val="10"/>
  </w:num>
  <w:num w:numId="15">
    <w:abstractNumId w:val="9"/>
  </w:num>
  <w:num w:numId="16">
    <w:abstractNumId w:val="13"/>
  </w:num>
  <w:num w:numId="17">
    <w:abstractNumId w:val="20"/>
  </w:num>
  <w:num w:numId="18">
    <w:abstractNumId w:val="25"/>
  </w:num>
  <w:num w:numId="19">
    <w:abstractNumId w:val="18"/>
  </w:num>
  <w:num w:numId="20">
    <w:abstractNumId w:val="23"/>
  </w:num>
  <w:num w:numId="21">
    <w:abstractNumId w:val="29"/>
  </w:num>
  <w:num w:numId="22">
    <w:abstractNumId w:val="5"/>
  </w:num>
  <w:num w:numId="23">
    <w:abstractNumId w:val="0"/>
  </w:num>
  <w:num w:numId="24">
    <w:abstractNumId w:val="2"/>
  </w:num>
  <w:num w:numId="25">
    <w:abstractNumId w:val="1"/>
  </w:num>
  <w:num w:numId="26">
    <w:abstractNumId w:val="24"/>
  </w:num>
  <w:num w:numId="27">
    <w:abstractNumId w:val="7"/>
  </w:num>
  <w:num w:numId="28">
    <w:abstractNumId w:val="11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9D"/>
    <w:rsid w:val="002335CB"/>
    <w:rsid w:val="002B72F0"/>
    <w:rsid w:val="002F0B9D"/>
    <w:rsid w:val="00397EE2"/>
    <w:rsid w:val="00402C5E"/>
    <w:rsid w:val="005C0E8C"/>
    <w:rsid w:val="00674CFB"/>
    <w:rsid w:val="0074604F"/>
    <w:rsid w:val="00832694"/>
    <w:rsid w:val="008B324E"/>
    <w:rsid w:val="00CB1EDB"/>
    <w:rsid w:val="00CD7833"/>
    <w:rsid w:val="00E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0BD03"/>
  <w15:docId w15:val="{095E75FD-A9C0-4EC9-BD6A-53E743F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CF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3486</Words>
  <Characters>21024</Characters>
  <Application>Microsoft Office Word</Application>
  <DocSecurity>0</DocSecurity>
  <Lines>467</Lines>
  <Paragraphs>224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dc:description/>
  <cp:lastModifiedBy>Upravitelj</cp:lastModifiedBy>
  <cp:revision>2</cp:revision>
  <cp:lastPrinted>2025-03-31T20:03:00Z</cp:lastPrinted>
  <dcterms:created xsi:type="dcterms:W3CDTF">2025-04-02T06:47:00Z</dcterms:created>
  <dcterms:modified xsi:type="dcterms:W3CDTF">2025-04-02T06:47:00Z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f5973548c05276961fd536cf57b2c3b580986124cacf059a2295df8a3b35d004</vt:lpwstr>
  </property>
</Properties>
</file>